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实际参数以现场测量为准，报价单需附工程量清单明细。</w:t>
      </w:r>
    </w:p>
    <w:p>
      <w:pPr>
        <w:spacing w:line="440" w:lineRule="exac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联系人：张俊 1895217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0319</w:t>
      </w:r>
    </w:p>
    <w:sectPr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0000"/>
    <w:rsid w:val="03B62B41"/>
    <w:rsid w:val="15E00848"/>
    <w:rsid w:val="1FBB65EC"/>
    <w:rsid w:val="5F4E55C7"/>
    <w:rsid w:val="73E76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  <w:bCs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4</Lines>
  <Paragraphs>1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2022-04-27T05:41:00Z</dcterms:created>
  <dc:creator>湛 叶志</dc:creator>
  <cp:lastModifiedBy>桐生一马</cp:lastModifiedBy>
  <cp:lastPrinted>2022-08-15T01:58:00Z</cp:lastPrinted>
  <dcterms:modified xsi:type="dcterms:W3CDTF">2022-08-18T02:22:21Z</dcterms:modified>
  <dc:title>徐州市口腔医院零星工程行政楼屋面防水工程招标公告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26429A839F5E4ADA9E8F67294541DEFF</vt:lpwstr>
  </property>
</Properties>
</file>