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Cs w:val="21"/>
        </w:rPr>
      </w:pPr>
    </w:p>
    <w:p>
      <w:pPr>
        <w:jc w:val="center"/>
        <w:rPr>
          <w:b/>
          <w:sz w:val="28"/>
          <w:szCs w:val="28"/>
        </w:rPr>
      </w:pPr>
      <w:r>
        <w:rPr>
          <w:rFonts w:ascii="宋体" w:hAnsi="宋体" w:eastAsia="宋体"/>
          <w:szCs w:val="21"/>
        </w:rPr>
        <w:t>徐州</w:t>
      </w:r>
      <w:r>
        <w:rPr>
          <w:rFonts w:hint="eastAsia" w:ascii="宋体" w:hAnsi="宋体" w:eastAsia="宋体"/>
          <w:szCs w:val="21"/>
          <w:lang w:val="en-US" w:eastAsia="zh-CN"/>
        </w:rPr>
        <w:t>市口腔医院</w:t>
      </w:r>
      <w:r>
        <w:rPr>
          <w:rFonts w:ascii="宋体" w:hAnsi="宋体" w:eastAsia="宋体"/>
          <w:szCs w:val="21"/>
        </w:rPr>
        <w:t>伦理委员会</w:t>
      </w:r>
    </w:p>
    <w:p>
      <w:pPr>
        <w:jc w:val="center"/>
        <w:rPr>
          <w:b/>
          <w:sz w:val="28"/>
          <w:szCs w:val="28"/>
        </w:rPr>
      </w:pPr>
      <w:r>
        <w:rPr>
          <w:rFonts w:hint="eastAsia"/>
          <w:b/>
          <w:sz w:val="28"/>
          <w:szCs w:val="28"/>
        </w:rPr>
        <w:t>安全性报告送审流程说明</w:t>
      </w:r>
    </w:p>
    <w:p>
      <w:pPr>
        <w:spacing w:line="360" w:lineRule="auto"/>
      </w:pPr>
      <w:r>
        <w:rPr>
          <w:rFonts w:hint="eastAsia"/>
        </w:rPr>
        <w:t>各项目负责人：</w:t>
      </w:r>
    </w:p>
    <w:p>
      <w:pPr>
        <w:spacing w:line="360" w:lineRule="auto"/>
        <w:ind w:firstLine="420" w:firstLineChars="200"/>
      </w:pPr>
      <w:r>
        <w:rPr>
          <w:rFonts w:hint="eastAsia"/>
        </w:rPr>
        <w:t>为了规范伦理委员会对研究项目的管理，提高伦理委员会的审查效率，提高主要研究者对伦理送审流程和试验规范性的认识，凡研究者向伦理委员会发起安全性报告审查申请，需根据以下要求进行：</w:t>
      </w:r>
    </w:p>
    <w:p>
      <w:pPr>
        <w:spacing w:line="360" w:lineRule="auto"/>
        <w:rPr>
          <w:b/>
        </w:rPr>
      </w:pPr>
    </w:p>
    <w:p>
      <w:pPr>
        <w:spacing w:line="360" w:lineRule="auto"/>
        <w:rPr>
          <w:b/>
        </w:rPr>
      </w:pPr>
      <w:r>
        <w:rPr>
          <w:rFonts w:hint="eastAsia"/>
          <w:b/>
        </w:rPr>
        <w:t>( 一)  药物临床试验</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42"/>
        <w:gridCol w:w="1275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242" w:type="dxa"/>
            <w:vAlign w:val="center"/>
          </w:tcPr>
          <w:p>
            <w:pPr>
              <w:spacing w:line="360" w:lineRule="auto"/>
              <w:jc w:val="center"/>
              <w:rPr>
                <w:b/>
              </w:rPr>
            </w:pPr>
            <w:r>
              <w:rPr>
                <w:rFonts w:hint="eastAsia"/>
                <w:b/>
              </w:rPr>
              <w:t>可疑的非预期严重不良反应定义</w:t>
            </w:r>
          </w:p>
        </w:tc>
        <w:tc>
          <w:tcPr>
            <w:tcW w:w="12758" w:type="dxa"/>
          </w:tcPr>
          <w:p>
            <w:pPr>
              <w:spacing w:line="360" w:lineRule="auto"/>
              <w:rPr>
                <w:b/>
                <w:color w:val="FF0000"/>
              </w:rPr>
            </w:pPr>
            <w:r>
              <w:rPr>
                <w:rFonts w:hint="eastAsia"/>
                <w:b/>
                <w:color w:val="FF0000"/>
              </w:rPr>
              <w:t>药物临床试验</w:t>
            </w:r>
            <w:bookmarkStart w:id="0" w:name="_GoBack"/>
            <w:bookmarkEnd w:id="0"/>
            <w:r>
              <w:rPr>
                <w:rFonts w:hint="eastAsia"/>
                <w:b/>
                <w:color w:val="FF0000"/>
              </w:rPr>
              <w:t>仅需上报可疑的非预期严重不良事件报告（SUSAR）</w:t>
            </w:r>
          </w:p>
          <w:p>
            <w:pPr>
              <w:spacing w:line="360" w:lineRule="auto"/>
            </w:pPr>
            <w:r>
              <w:rPr>
                <w:rFonts w:hint="eastAsia"/>
              </w:rPr>
              <w:t>SUSAR：临床试验期间发生的（包括中国境内和境外）所有与试验药物</w:t>
            </w:r>
            <w:r>
              <w:rPr>
                <w:rFonts w:hint="eastAsia" w:asciiTheme="minorEastAsia" w:hAnsiTheme="minorEastAsia"/>
                <w:color w:val="FF0000"/>
              </w:rPr>
              <w:t>肯定相关或可疑</w:t>
            </w:r>
            <w:r>
              <w:rPr>
                <w:rFonts w:hint="eastAsia"/>
              </w:rPr>
              <w:t>的非预期且严重的不良反应。不良反应的性质、严重程度、后果或频率，不同于试验药物当前相关资料（如研究者手册等文件）所描述的预期风险。研究者手册作为主要文件提供用以判断某不良反应是否预期或非预期的安全性参考信息。如：（1）急性肾衰在研究者手册中列为不良反应，但试验过程中出现间质性肾炎，即应判断为非预期不良反应，（2）肝炎在研究者手册中列为不良反应，但试验过程中发生急性重型肝炎，即应判断为非预期不良反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242" w:type="dxa"/>
            <w:vAlign w:val="center"/>
          </w:tcPr>
          <w:p>
            <w:pPr>
              <w:spacing w:line="360" w:lineRule="auto"/>
              <w:jc w:val="center"/>
              <w:rPr>
                <w:b/>
              </w:rPr>
            </w:pPr>
            <w:r>
              <w:rPr>
                <w:rFonts w:hint="eastAsia"/>
                <w:b/>
              </w:rPr>
              <w:t>送审时效方式</w:t>
            </w:r>
          </w:p>
        </w:tc>
        <w:tc>
          <w:tcPr>
            <w:tcW w:w="12758" w:type="dxa"/>
          </w:tcPr>
          <w:p>
            <w:pPr>
              <w:spacing w:line="360" w:lineRule="auto"/>
              <w:rPr>
                <w:rFonts w:ascii="Calibri" w:hAnsi="Calibri" w:cs="Calibri"/>
                <w:b/>
                <w:color w:val="FF0000"/>
              </w:rPr>
            </w:pPr>
            <w:r>
              <w:rPr>
                <w:rFonts w:hint="eastAsia" w:ascii="Calibri" w:hAnsi="Calibri" w:cs="Calibri"/>
                <w:b/>
                <w:color w:val="FF0000"/>
              </w:rPr>
              <w:t>上报时限 ：首 7 随8 （首次报告：申办方获知后7日内， 随访/ 总结报告：首次报告后8日内）</w:t>
            </w:r>
            <w:r>
              <w:rPr>
                <w:rFonts w:ascii="Calibri" w:hAnsi="Calibri" w:cs="Calibri"/>
                <w:b/>
                <w:color w:val="FF0000"/>
              </w:rPr>
              <w:t xml:space="preserve"> </w:t>
            </w:r>
          </w:p>
          <w:p>
            <w:pPr>
              <w:spacing w:line="360" w:lineRule="auto"/>
            </w:pPr>
            <w:r>
              <w:rPr>
                <w:rFonts w:hint="eastAsia"/>
              </w:rPr>
              <w:t>1、本院</w:t>
            </w:r>
            <w:r>
              <w:t xml:space="preserve"> SUSAR</w:t>
            </w:r>
            <w:r>
              <w:rPr>
                <w:rFonts w:hint="eastAsia"/>
              </w:rPr>
              <w:t>：须纸质版上报，以纸质版报告签收日期为准，不接受邮件上报。</w:t>
            </w:r>
          </w:p>
          <w:p>
            <w:pPr>
              <w:spacing w:line="360" w:lineRule="auto"/>
            </w:pPr>
            <w:r>
              <w:rPr>
                <w:rFonts w:hint="eastAsia" w:ascii="Calibri" w:hAnsi="Calibri" w:cs="Calibri"/>
              </w:rPr>
              <w:t>2、</w:t>
            </w:r>
            <w:r>
              <w:rPr>
                <w:rFonts w:hint="eastAsia"/>
              </w:rPr>
              <w:t>外院</w:t>
            </w:r>
            <w:r>
              <w:t xml:space="preserve"> SUSAR</w:t>
            </w:r>
            <w:r>
              <w:rPr>
                <w:rFonts w:hint="eastAsia"/>
              </w:rPr>
              <w:t>：1个月汇总上报一次，仅接受纸质上报，请在递交信或情况分析评估表中注明是否影响受试者的权益和安全。</w:t>
            </w:r>
          </w:p>
        </w:tc>
      </w:tr>
    </w:tbl>
    <w:p>
      <w:pPr>
        <w:spacing w:line="360" w:lineRule="auto"/>
        <w:rPr>
          <w:b/>
        </w:rPr>
      </w:pPr>
    </w:p>
    <w:p>
      <w:pPr>
        <w:spacing w:line="360" w:lineRule="auto"/>
        <w:rPr>
          <w:b/>
        </w:rPr>
      </w:pPr>
      <w:r>
        <w:rPr>
          <w:rFonts w:hint="eastAsia"/>
          <w:b/>
        </w:rPr>
        <w:t>( 二)  医疗器械临床试验</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0"/>
        <w:gridCol w:w="1290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270" w:type="dxa"/>
            <w:vAlign w:val="center"/>
          </w:tcPr>
          <w:p>
            <w:pPr>
              <w:spacing w:line="360" w:lineRule="auto"/>
              <w:jc w:val="center"/>
              <w:rPr>
                <w:b/>
              </w:rPr>
            </w:pPr>
            <w:r>
              <w:rPr>
                <w:rFonts w:hint="eastAsia"/>
                <w:b/>
              </w:rPr>
              <w:t>送审时效方式</w:t>
            </w:r>
          </w:p>
        </w:tc>
        <w:tc>
          <w:tcPr>
            <w:tcW w:w="12904" w:type="dxa"/>
          </w:tcPr>
          <w:p>
            <w:pPr>
              <w:spacing w:line="360" w:lineRule="auto"/>
            </w:pPr>
            <w:r>
              <w:rPr>
                <w:rFonts w:hint="eastAsia" w:ascii="Calibri" w:hAnsi="Calibri" w:cs="Calibri"/>
              </w:rPr>
              <w:t>1、</w:t>
            </w:r>
            <w:r>
              <w:rPr>
                <w:rFonts w:hint="eastAsia"/>
              </w:rPr>
              <w:t>本院发生的严重不良事件报告和可能导致严重不良事件的器械缺陷报告：</w:t>
            </w:r>
            <w:r>
              <w:t>24</w:t>
            </w:r>
            <w:r>
              <w:rPr>
                <w:rFonts w:hint="eastAsia"/>
              </w:rPr>
              <w:t>小时内上报。仅受理纸质版材料，不接受邮件上报。</w:t>
            </w:r>
          </w:p>
          <w:p>
            <w:pPr>
              <w:spacing w:line="360" w:lineRule="auto"/>
            </w:pPr>
            <w:r>
              <w:rPr>
                <w:rFonts w:hint="eastAsia"/>
              </w:rPr>
              <w:t>2、外院发生的严重不良事件报告和可能导致严重不良事件的器械缺陷报告：</w:t>
            </w:r>
            <w:r>
              <w:t>5</w:t>
            </w:r>
            <w:r>
              <w:rPr>
                <w:rFonts w:hint="eastAsia"/>
              </w:rPr>
              <w:t>个工作日内上报。仅接受纸质上报，请在递交信或情况分析评估表中注明是否影响受试者的权益和安全。</w:t>
            </w:r>
          </w:p>
        </w:tc>
      </w:tr>
    </w:tbl>
    <w:p>
      <w:pPr>
        <w:spacing w:line="360" w:lineRule="auto"/>
        <w:rPr>
          <w:b/>
          <w:color w:val="FF0000"/>
        </w:rPr>
      </w:pPr>
      <w:r>
        <w:rPr>
          <w:rFonts w:hint="eastAsia"/>
          <w:b/>
          <w:color w:val="FF0000"/>
        </w:rPr>
        <w:t>注意 ： 本伦理委员会仅接收由主要研究者现场递交的安全性报告。</w:t>
      </w:r>
    </w:p>
    <w:sectPr>
      <w:pgSz w:w="16838" w:h="11906" w:orient="landscape"/>
      <w:pgMar w:top="851"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ZjYTQ4YWVjZmY5NmEyMmIwOTcwYzdjMGM4NTM3MGUifQ=="/>
  </w:docVars>
  <w:rsids>
    <w:rsidRoot w:val="00AC4E0A"/>
    <w:rsid w:val="000360EA"/>
    <w:rsid w:val="000546B3"/>
    <w:rsid w:val="00094652"/>
    <w:rsid w:val="000C2565"/>
    <w:rsid w:val="00133EDC"/>
    <w:rsid w:val="00226F0B"/>
    <w:rsid w:val="00244038"/>
    <w:rsid w:val="003B06A1"/>
    <w:rsid w:val="003D715F"/>
    <w:rsid w:val="005206CB"/>
    <w:rsid w:val="00594685"/>
    <w:rsid w:val="00654305"/>
    <w:rsid w:val="00685764"/>
    <w:rsid w:val="006C27AA"/>
    <w:rsid w:val="006E7E76"/>
    <w:rsid w:val="00760B50"/>
    <w:rsid w:val="00784401"/>
    <w:rsid w:val="008F08A1"/>
    <w:rsid w:val="00A653E0"/>
    <w:rsid w:val="00AC4E0A"/>
    <w:rsid w:val="00B52CF2"/>
    <w:rsid w:val="00B837E9"/>
    <w:rsid w:val="00E142AC"/>
    <w:rsid w:val="00EB0597"/>
    <w:rsid w:val="00EB6133"/>
    <w:rsid w:val="00FF57F7"/>
    <w:rsid w:val="09AF5ECF"/>
    <w:rsid w:val="14AF3702"/>
    <w:rsid w:val="75B17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1</Pages>
  <Words>728</Words>
  <Characters>754</Characters>
  <Lines>5</Lines>
  <Paragraphs>1</Paragraphs>
  <TotalTime>37</TotalTime>
  <ScaleCrop>false</ScaleCrop>
  <LinksUpToDate>false</LinksUpToDate>
  <CharactersWithSpaces>772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2020-07-10T06:40:00Z</dcterms:created>
  <dc:creator>微软用户</dc:creator>
  <cp:lastModifiedBy>沙粒</cp:lastModifiedBy>
  <dcterms:modified xsi:type="dcterms:W3CDTF">2022-11-03T07:10:36Z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4E76249066D641ECBA2D4CD006DE1A2C</vt:lpwstr>
  </property>
</Properties>
</file>